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C7B9" w14:textId="77777777" w:rsidR="00C06473" w:rsidRDefault="00C06473"/>
    <w:p w14:paraId="5F75AE51" w14:textId="77777777" w:rsidR="00854017" w:rsidRDefault="0085401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54017" w:rsidRPr="00C06473" w14:paraId="239E80E1" w14:textId="77777777" w:rsidTr="0E42C678">
        <w:tc>
          <w:tcPr>
            <w:tcW w:w="10740" w:type="dxa"/>
          </w:tcPr>
          <w:p w14:paraId="30E43349" w14:textId="4CE47F4B" w:rsidR="00C608A2" w:rsidRDefault="00854017" w:rsidP="54E745B4">
            <w:pPr>
              <w:rPr>
                <w:b/>
                <w:bCs/>
              </w:rPr>
            </w:pPr>
            <w:r w:rsidRPr="54E745B4">
              <w:rPr>
                <w:b/>
                <w:bCs/>
                <w:sz w:val="20"/>
                <w:szCs w:val="20"/>
              </w:rPr>
              <w:t xml:space="preserve">AUDIT: </w:t>
            </w:r>
            <w:r w:rsidR="00CB18D5" w:rsidRPr="00CB18D5">
              <w:rPr>
                <w:b/>
                <w:bCs/>
                <w:sz w:val="20"/>
                <w:szCs w:val="20"/>
              </w:rPr>
              <w:t xml:space="preserve">National Respiratory Audit Programme </w:t>
            </w:r>
            <w:r w:rsidR="00C759EA">
              <w:rPr>
                <w:b/>
                <w:bCs/>
                <w:sz w:val="20"/>
                <w:szCs w:val="20"/>
              </w:rPr>
              <w:t>and</w:t>
            </w:r>
            <w:r w:rsidR="00CB18D5" w:rsidRPr="00CB18D5">
              <w:rPr>
                <w:b/>
                <w:bCs/>
                <w:sz w:val="20"/>
                <w:szCs w:val="20"/>
              </w:rPr>
              <w:t xml:space="preserve"> Organisational audit 2024 report</w:t>
            </w:r>
          </w:p>
          <w:p w14:paraId="2B66D8F9" w14:textId="1DD50FFA" w:rsidR="00C608A2" w:rsidRPr="003334E7" w:rsidRDefault="00C608A2" w:rsidP="00C608A2">
            <w:r>
              <w:rPr>
                <w:b/>
              </w:rPr>
              <w:t xml:space="preserve">Summary – </w:t>
            </w:r>
          </w:p>
        </w:tc>
      </w:tr>
      <w:tr w:rsidR="00854017" w:rsidRPr="00F772E2" w14:paraId="5F3B9B4F" w14:textId="77777777" w:rsidTr="0E42C678">
        <w:tc>
          <w:tcPr>
            <w:tcW w:w="10740" w:type="dxa"/>
          </w:tcPr>
          <w:p w14:paraId="12C308F7" w14:textId="4B8AA9A0" w:rsidR="00854017" w:rsidRPr="00F772E2" w:rsidRDefault="00854017" w:rsidP="004E47FD">
            <w:pPr>
              <w:rPr>
                <w:b/>
              </w:rPr>
            </w:pPr>
            <w:r w:rsidRPr="00C06473">
              <w:rPr>
                <w:b/>
                <w:sz w:val="20"/>
                <w:szCs w:val="20"/>
              </w:rPr>
              <w:t>Signed off by:</w:t>
            </w:r>
            <w:r w:rsidR="00917EEA">
              <w:rPr>
                <w:b/>
                <w:sz w:val="20"/>
                <w:szCs w:val="20"/>
              </w:rPr>
              <w:t xml:space="preserve"> S</w:t>
            </w:r>
            <w:r w:rsidR="00917EEA">
              <w:rPr>
                <w:sz w:val="20"/>
                <w:szCs w:val="20"/>
              </w:rPr>
              <w:t>arah Duncan, Deputy Director, CVD-R</w:t>
            </w:r>
          </w:p>
        </w:tc>
      </w:tr>
      <w:tr w:rsidR="00854017" w:rsidRPr="00C06473" w14:paraId="4F70E8B9" w14:textId="77777777" w:rsidTr="0E42C678">
        <w:tc>
          <w:tcPr>
            <w:tcW w:w="10740" w:type="dxa"/>
          </w:tcPr>
          <w:p w14:paraId="41F82EA8" w14:textId="0BEBDF24" w:rsidR="00C608A2" w:rsidRDefault="00C608A2" w:rsidP="00C608A2">
            <w:pPr>
              <w:rPr>
                <w:b/>
                <w:i/>
                <w:color w:val="FF0000"/>
              </w:rPr>
            </w:pPr>
            <w:r w:rsidRPr="00C06473">
              <w:rPr>
                <w:b/>
                <w:i/>
                <w:sz w:val="20"/>
                <w:szCs w:val="20"/>
              </w:rPr>
              <w:t>Background: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00F0FB6A" w14:textId="0BE1C743" w:rsidR="00EF2A23" w:rsidRDefault="00DB3D6F" w:rsidP="008B20A0">
            <w:pPr>
              <w:rPr>
                <w:sz w:val="20"/>
                <w:szCs w:val="20"/>
              </w:rPr>
            </w:pPr>
            <w:r w:rsidRPr="00DB3D6F">
              <w:rPr>
                <w:sz w:val="20"/>
                <w:szCs w:val="20"/>
              </w:rPr>
              <w:t>This report presents the findings of a</w:t>
            </w:r>
            <w:r w:rsidR="005875A0">
              <w:rPr>
                <w:sz w:val="20"/>
                <w:szCs w:val="20"/>
              </w:rPr>
              <w:t xml:space="preserve"> snapshot</w:t>
            </w:r>
            <w:r w:rsidRPr="00DB3D6F">
              <w:rPr>
                <w:sz w:val="20"/>
                <w:szCs w:val="20"/>
              </w:rPr>
              <w:t xml:space="preserve"> national audit of acute hospital respiratory</w:t>
            </w:r>
            <w:r>
              <w:rPr>
                <w:sz w:val="20"/>
                <w:szCs w:val="20"/>
              </w:rPr>
              <w:t xml:space="preserve"> </w:t>
            </w:r>
            <w:r w:rsidRPr="00DB3D6F">
              <w:rPr>
                <w:sz w:val="20"/>
                <w:szCs w:val="20"/>
              </w:rPr>
              <w:t>services</w:t>
            </w:r>
            <w:r w:rsidR="00420DBC">
              <w:rPr>
                <w:sz w:val="20"/>
                <w:szCs w:val="20"/>
              </w:rPr>
              <w:t xml:space="preserve"> </w:t>
            </w:r>
            <w:r w:rsidR="006C1ACA">
              <w:rPr>
                <w:sz w:val="20"/>
                <w:szCs w:val="20"/>
              </w:rPr>
              <w:t>(both adults and children and young people)</w:t>
            </w:r>
            <w:r w:rsidRPr="00DB3D6F">
              <w:rPr>
                <w:sz w:val="20"/>
                <w:szCs w:val="20"/>
              </w:rPr>
              <w:t xml:space="preserve"> and pulmonary rehabilitation (PR) services across England and Wales</w:t>
            </w:r>
            <w:r w:rsidR="00C70B39">
              <w:rPr>
                <w:sz w:val="20"/>
                <w:szCs w:val="20"/>
              </w:rPr>
              <w:t xml:space="preserve"> which ran from </w:t>
            </w:r>
            <w:r w:rsidR="00C70B39" w:rsidRPr="00C70B39">
              <w:rPr>
                <w:sz w:val="20"/>
                <w:szCs w:val="20"/>
              </w:rPr>
              <w:t xml:space="preserve">26 February to 29 March </w:t>
            </w:r>
            <w:proofErr w:type="gramStart"/>
            <w:r w:rsidR="00C70B39" w:rsidRPr="00C70B39">
              <w:rPr>
                <w:sz w:val="20"/>
                <w:szCs w:val="20"/>
              </w:rPr>
              <w:t>2024.</w:t>
            </w:r>
            <w:r w:rsidR="00C759EA">
              <w:rPr>
                <w:sz w:val="20"/>
                <w:szCs w:val="20"/>
              </w:rPr>
              <w:t>.</w:t>
            </w:r>
            <w:proofErr w:type="gramEnd"/>
            <w:r w:rsidR="00C759EA">
              <w:rPr>
                <w:sz w:val="20"/>
                <w:szCs w:val="20"/>
              </w:rPr>
              <w:t xml:space="preserve"> It </w:t>
            </w:r>
            <w:r w:rsidR="008B20A0">
              <w:rPr>
                <w:sz w:val="20"/>
                <w:szCs w:val="20"/>
              </w:rPr>
              <w:t>includes</w:t>
            </w:r>
            <w:r w:rsidR="000069B7">
              <w:rPr>
                <w:sz w:val="20"/>
                <w:szCs w:val="20"/>
              </w:rPr>
              <w:t xml:space="preserve"> </w:t>
            </w:r>
            <w:r w:rsidR="008B20A0">
              <w:rPr>
                <w:sz w:val="20"/>
                <w:szCs w:val="20"/>
              </w:rPr>
              <w:t xml:space="preserve">cohort data from </w:t>
            </w:r>
            <w:r w:rsidR="008B20A0" w:rsidRPr="008B20A0">
              <w:rPr>
                <w:sz w:val="20"/>
                <w:szCs w:val="20"/>
              </w:rPr>
              <w:t>1 April 2022 to 31 March 2023 for admissions</w:t>
            </w:r>
            <w:r w:rsidR="004B690F">
              <w:rPr>
                <w:sz w:val="20"/>
                <w:szCs w:val="20"/>
              </w:rPr>
              <w:t xml:space="preserve"> </w:t>
            </w:r>
            <w:proofErr w:type="gramStart"/>
            <w:r w:rsidR="008B20A0" w:rsidRPr="008B20A0">
              <w:rPr>
                <w:sz w:val="20"/>
                <w:szCs w:val="20"/>
              </w:rPr>
              <w:t>information,</w:t>
            </w:r>
            <w:r w:rsidR="004B690F">
              <w:rPr>
                <w:sz w:val="20"/>
                <w:szCs w:val="20"/>
              </w:rPr>
              <w:t>.</w:t>
            </w:r>
            <w:proofErr w:type="gramEnd"/>
            <w:r w:rsidR="009A5199">
              <w:rPr>
                <w:sz w:val="20"/>
                <w:szCs w:val="20"/>
              </w:rPr>
              <w:t xml:space="preserve"> </w:t>
            </w:r>
            <w:r w:rsidR="004B690F">
              <w:rPr>
                <w:sz w:val="20"/>
                <w:szCs w:val="20"/>
              </w:rPr>
              <w:t>W</w:t>
            </w:r>
            <w:r w:rsidR="008B20A0" w:rsidRPr="008B20A0">
              <w:rPr>
                <w:sz w:val="20"/>
                <w:szCs w:val="20"/>
              </w:rPr>
              <w:t>here static data snapshots were required, for example</w:t>
            </w:r>
            <w:r w:rsidR="004B690F">
              <w:rPr>
                <w:sz w:val="20"/>
                <w:szCs w:val="20"/>
              </w:rPr>
              <w:t xml:space="preserve"> </w:t>
            </w:r>
            <w:r w:rsidR="008B20A0" w:rsidRPr="008B20A0">
              <w:rPr>
                <w:sz w:val="20"/>
                <w:szCs w:val="20"/>
              </w:rPr>
              <w:t>number of beds, this was taken from September 2023. Staffing information was</w:t>
            </w:r>
            <w:r w:rsidR="004B690F">
              <w:rPr>
                <w:sz w:val="20"/>
                <w:szCs w:val="20"/>
              </w:rPr>
              <w:t xml:space="preserve"> </w:t>
            </w:r>
            <w:r w:rsidR="008B20A0" w:rsidRPr="008B20A0">
              <w:rPr>
                <w:sz w:val="20"/>
                <w:szCs w:val="20"/>
              </w:rPr>
              <w:t xml:space="preserve">a contemporaneous snapshot of the data from early </w:t>
            </w:r>
            <w:proofErr w:type="gramStart"/>
            <w:r w:rsidR="008B20A0" w:rsidRPr="008B20A0">
              <w:rPr>
                <w:sz w:val="20"/>
                <w:szCs w:val="20"/>
              </w:rPr>
              <w:t>2024</w:t>
            </w:r>
            <w:r w:rsidR="00C759EA">
              <w:rPr>
                <w:sz w:val="20"/>
                <w:szCs w:val="20"/>
              </w:rPr>
              <w:t xml:space="preserve"> </w:t>
            </w:r>
            <w:r w:rsidR="00DC36C9">
              <w:rPr>
                <w:sz w:val="20"/>
                <w:szCs w:val="20"/>
              </w:rPr>
              <w:t>.</w:t>
            </w:r>
            <w:proofErr w:type="gramEnd"/>
            <w:r w:rsidR="00DC36C9">
              <w:rPr>
                <w:sz w:val="20"/>
                <w:szCs w:val="20"/>
              </w:rPr>
              <w:t xml:space="preserve"> For children and young people’s asthma</w:t>
            </w:r>
            <w:r w:rsidR="003A224F">
              <w:rPr>
                <w:sz w:val="20"/>
                <w:szCs w:val="20"/>
              </w:rPr>
              <w:t>,</w:t>
            </w:r>
            <w:r w:rsidR="00DC36C9">
              <w:rPr>
                <w:sz w:val="20"/>
                <w:szCs w:val="20"/>
              </w:rPr>
              <w:t xml:space="preserve"> </w:t>
            </w:r>
            <w:r w:rsidR="003A224F">
              <w:rPr>
                <w:sz w:val="20"/>
                <w:szCs w:val="20"/>
              </w:rPr>
              <w:t>data was compiled from</w:t>
            </w:r>
            <w:r w:rsidR="00DC36C9">
              <w:rPr>
                <w:sz w:val="20"/>
                <w:szCs w:val="20"/>
              </w:rPr>
              <w:t xml:space="preserve"> </w:t>
            </w:r>
            <w:r w:rsidR="003A224F">
              <w:rPr>
                <w:sz w:val="20"/>
                <w:szCs w:val="20"/>
              </w:rPr>
              <w:t xml:space="preserve">75% of participating hospitals, for </w:t>
            </w:r>
            <w:r w:rsidR="00B34A89">
              <w:rPr>
                <w:sz w:val="20"/>
                <w:szCs w:val="20"/>
              </w:rPr>
              <w:t xml:space="preserve">adult asthma and COPD it was 69.4% of participating hospitals and for PR, it was 84.7% of participating </w:t>
            </w:r>
            <w:r w:rsidR="00D35769">
              <w:rPr>
                <w:sz w:val="20"/>
                <w:szCs w:val="20"/>
              </w:rPr>
              <w:t>hospitals</w:t>
            </w:r>
            <w:r w:rsidR="00B34A89">
              <w:rPr>
                <w:sz w:val="20"/>
                <w:szCs w:val="20"/>
              </w:rPr>
              <w:t>.</w:t>
            </w:r>
          </w:p>
          <w:p w14:paraId="7A9B7653" w14:textId="77777777" w:rsidR="00854017" w:rsidRPr="008E20C6" w:rsidRDefault="00854017" w:rsidP="004E47FD">
            <w:pPr>
              <w:rPr>
                <w:sz w:val="14"/>
                <w:szCs w:val="14"/>
              </w:rPr>
            </w:pPr>
          </w:p>
          <w:p w14:paraId="39173721" w14:textId="7E1C6418" w:rsidR="00854017" w:rsidRPr="00F772E2" w:rsidRDefault="00854017" w:rsidP="004E47FD">
            <w:pPr>
              <w:rPr>
                <w:b/>
                <w:i/>
              </w:rPr>
            </w:pPr>
            <w:r w:rsidRPr="00C06473">
              <w:rPr>
                <w:b/>
                <w:i/>
                <w:sz w:val="20"/>
                <w:szCs w:val="20"/>
              </w:rPr>
              <w:t xml:space="preserve">NHS England clinical /policy leads summary: </w:t>
            </w:r>
          </w:p>
          <w:p w14:paraId="70DA456C" w14:textId="777A113F" w:rsidR="0057141A" w:rsidRPr="0057141A" w:rsidRDefault="00B34A89" w:rsidP="00EE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17FD">
              <w:rPr>
                <w:sz w:val="20"/>
                <w:szCs w:val="20"/>
              </w:rPr>
              <w:t xml:space="preserve">report </w:t>
            </w:r>
            <w:r w:rsidR="008B1EF5">
              <w:rPr>
                <w:sz w:val="20"/>
                <w:szCs w:val="20"/>
              </w:rPr>
              <w:t>provides insight into how respiratory services</w:t>
            </w:r>
            <w:r w:rsidR="00B950B4">
              <w:rPr>
                <w:sz w:val="20"/>
                <w:szCs w:val="20"/>
              </w:rPr>
              <w:t xml:space="preserve"> for adults and children and young people</w:t>
            </w:r>
            <w:r w:rsidR="008B1EF5">
              <w:rPr>
                <w:sz w:val="20"/>
                <w:szCs w:val="20"/>
              </w:rPr>
              <w:t xml:space="preserve"> are organised </w:t>
            </w:r>
            <w:r w:rsidR="004E700C">
              <w:rPr>
                <w:sz w:val="20"/>
                <w:szCs w:val="20"/>
              </w:rPr>
              <w:t>with the aim of</w:t>
            </w:r>
            <w:r w:rsidR="008B1EF5">
              <w:rPr>
                <w:sz w:val="20"/>
                <w:szCs w:val="20"/>
              </w:rPr>
              <w:t xml:space="preserve"> identify</w:t>
            </w:r>
            <w:r w:rsidR="004E700C">
              <w:rPr>
                <w:sz w:val="20"/>
                <w:szCs w:val="20"/>
              </w:rPr>
              <w:t>ing</w:t>
            </w:r>
            <w:r w:rsidR="008B1EF5">
              <w:rPr>
                <w:sz w:val="20"/>
                <w:szCs w:val="20"/>
              </w:rPr>
              <w:t xml:space="preserve"> variations in </w:t>
            </w:r>
            <w:r w:rsidR="008B0830">
              <w:rPr>
                <w:sz w:val="20"/>
                <w:szCs w:val="20"/>
              </w:rPr>
              <w:t>both team structure and resourcing.</w:t>
            </w:r>
            <w:r w:rsidR="00883779">
              <w:rPr>
                <w:sz w:val="20"/>
                <w:szCs w:val="20"/>
              </w:rPr>
              <w:t xml:space="preserve"> The</w:t>
            </w:r>
            <w:r w:rsidR="006772F4">
              <w:rPr>
                <w:sz w:val="20"/>
                <w:szCs w:val="20"/>
              </w:rPr>
              <w:t xml:space="preserve"> report</w:t>
            </w:r>
            <w:r w:rsidR="00121366">
              <w:rPr>
                <w:sz w:val="20"/>
                <w:szCs w:val="20"/>
              </w:rPr>
              <w:t>’s</w:t>
            </w:r>
            <w:r w:rsidR="006772F4">
              <w:rPr>
                <w:sz w:val="20"/>
                <w:szCs w:val="20"/>
              </w:rPr>
              <w:t xml:space="preserve"> five key recommendations</w:t>
            </w:r>
            <w:r w:rsidR="00B8190F">
              <w:rPr>
                <w:sz w:val="20"/>
                <w:szCs w:val="20"/>
              </w:rPr>
              <w:t xml:space="preserve"> </w:t>
            </w:r>
            <w:r w:rsidR="00121366">
              <w:rPr>
                <w:sz w:val="20"/>
                <w:szCs w:val="20"/>
              </w:rPr>
              <w:t>focus on</w:t>
            </w:r>
            <w:r w:rsidR="00B8190F">
              <w:rPr>
                <w:sz w:val="20"/>
                <w:szCs w:val="20"/>
              </w:rPr>
              <w:t xml:space="preserve"> </w:t>
            </w:r>
            <w:r w:rsidR="00121366">
              <w:rPr>
                <w:sz w:val="20"/>
                <w:szCs w:val="20"/>
              </w:rPr>
              <w:t>key</w:t>
            </w:r>
            <w:r w:rsidR="00EE77DC">
              <w:rPr>
                <w:sz w:val="20"/>
                <w:szCs w:val="20"/>
              </w:rPr>
              <w:t xml:space="preserve"> areas</w:t>
            </w:r>
            <w:r w:rsidR="00EE77DC" w:rsidRPr="00EE77DC">
              <w:rPr>
                <w:rFonts w:ascii="FSAlbert-Light" w:hAnsi="FSAlbert-Light" w:cs="FSAlbert-Light"/>
                <w:color w:val="4C575C"/>
              </w:rPr>
              <w:t xml:space="preserve"> </w:t>
            </w:r>
            <w:r w:rsidR="00EE77DC" w:rsidRPr="00EE77DC">
              <w:rPr>
                <w:sz w:val="20"/>
                <w:szCs w:val="20"/>
              </w:rPr>
              <w:t>which if improved</w:t>
            </w:r>
            <w:r w:rsidR="00EE77DC">
              <w:rPr>
                <w:sz w:val="20"/>
                <w:szCs w:val="20"/>
              </w:rPr>
              <w:t xml:space="preserve"> </w:t>
            </w:r>
            <w:r w:rsidR="00EE77DC" w:rsidRPr="00EE77DC">
              <w:rPr>
                <w:sz w:val="20"/>
                <w:szCs w:val="20"/>
              </w:rPr>
              <w:t>will drive real impact and improve outcomes</w:t>
            </w:r>
            <w:r w:rsidR="00B70BA1">
              <w:rPr>
                <w:sz w:val="20"/>
                <w:szCs w:val="20"/>
              </w:rPr>
              <w:t xml:space="preserve">. </w:t>
            </w:r>
            <w:proofErr w:type="gramStart"/>
            <w:r w:rsidR="00B837DE">
              <w:rPr>
                <w:sz w:val="20"/>
                <w:szCs w:val="20"/>
              </w:rPr>
              <w:t>The vast majority of</w:t>
            </w:r>
            <w:proofErr w:type="gramEnd"/>
            <w:r w:rsidR="00B837DE">
              <w:rPr>
                <w:sz w:val="20"/>
                <w:szCs w:val="20"/>
              </w:rPr>
              <w:t xml:space="preserve"> recommendations are </w:t>
            </w:r>
            <w:r w:rsidR="00F15B0A">
              <w:rPr>
                <w:sz w:val="20"/>
                <w:szCs w:val="20"/>
              </w:rPr>
              <w:t>aimed at</w:t>
            </w:r>
            <w:r w:rsidR="00B837DE">
              <w:rPr>
                <w:sz w:val="20"/>
                <w:szCs w:val="20"/>
              </w:rPr>
              <w:t xml:space="preserve"> systems </w:t>
            </w:r>
            <w:r w:rsidR="00B70BA1">
              <w:rPr>
                <w:sz w:val="20"/>
                <w:szCs w:val="20"/>
              </w:rPr>
              <w:t>and a range additional online</w:t>
            </w:r>
            <w:r w:rsidR="00B8190F">
              <w:rPr>
                <w:sz w:val="20"/>
                <w:szCs w:val="20"/>
              </w:rPr>
              <w:t xml:space="preserve"> </w:t>
            </w:r>
            <w:r w:rsidR="00F15B0A">
              <w:rPr>
                <w:sz w:val="20"/>
                <w:szCs w:val="20"/>
              </w:rPr>
              <w:t>resources have been made available to support the report.</w:t>
            </w:r>
          </w:p>
          <w:p w14:paraId="2555F1E6" w14:textId="77777777" w:rsidR="00854017" w:rsidRPr="008E20C6" w:rsidRDefault="00854017" w:rsidP="004E47FD">
            <w:pPr>
              <w:rPr>
                <w:i/>
                <w:sz w:val="16"/>
                <w:szCs w:val="16"/>
              </w:rPr>
            </w:pPr>
          </w:p>
          <w:p w14:paraId="6D2DDDA4" w14:textId="3A6A36D3" w:rsidR="00854017" w:rsidRPr="00F772E2" w:rsidRDefault="00854017" w:rsidP="004E47FD">
            <w:pPr>
              <w:rPr>
                <w:b/>
                <w:i/>
              </w:rPr>
            </w:pPr>
            <w:r w:rsidRPr="00C06473">
              <w:rPr>
                <w:b/>
                <w:i/>
                <w:sz w:val="20"/>
                <w:szCs w:val="20"/>
              </w:rPr>
              <w:t>Comms summary:</w:t>
            </w:r>
            <w:r w:rsidRPr="00C06473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6C191876" w14:textId="759D5EB1" w:rsidR="00854017" w:rsidRDefault="00936807" w:rsidP="004E4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36807">
              <w:rPr>
                <w:sz w:val="20"/>
                <w:szCs w:val="20"/>
              </w:rPr>
              <w:t>here is no associated press release, NRAP will publish final report and share with key stakeholders</w:t>
            </w:r>
            <w:r>
              <w:rPr>
                <w:sz w:val="20"/>
                <w:szCs w:val="20"/>
              </w:rPr>
              <w:t>.</w:t>
            </w:r>
            <w:r w:rsidR="00DD33CF">
              <w:rPr>
                <w:sz w:val="20"/>
                <w:szCs w:val="20"/>
              </w:rPr>
              <w:t xml:space="preserve"> W</w:t>
            </w:r>
            <w:r w:rsidRPr="00936807">
              <w:rPr>
                <w:sz w:val="20"/>
                <w:szCs w:val="20"/>
              </w:rPr>
              <w:t>e</w:t>
            </w:r>
            <w:r w:rsidR="00DD33CF">
              <w:rPr>
                <w:sz w:val="20"/>
                <w:szCs w:val="20"/>
              </w:rPr>
              <w:t xml:space="preserve"> </w:t>
            </w:r>
            <w:proofErr w:type="gramStart"/>
            <w:r w:rsidR="00DD33CF">
              <w:rPr>
                <w:sz w:val="20"/>
                <w:szCs w:val="20"/>
              </w:rPr>
              <w:t xml:space="preserve">do </w:t>
            </w:r>
            <w:r w:rsidRPr="00936807">
              <w:rPr>
                <w:sz w:val="20"/>
                <w:szCs w:val="20"/>
              </w:rPr>
              <w:t xml:space="preserve"> anticipate</w:t>
            </w:r>
            <w:proofErr w:type="gramEnd"/>
            <w:r w:rsidRPr="00936807">
              <w:rPr>
                <w:sz w:val="20"/>
                <w:szCs w:val="20"/>
              </w:rPr>
              <w:t xml:space="preserve"> </w:t>
            </w:r>
            <w:r w:rsidR="00DD33CF">
              <w:rPr>
                <w:sz w:val="20"/>
                <w:szCs w:val="20"/>
              </w:rPr>
              <w:t>any</w:t>
            </w:r>
            <w:r w:rsidRPr="00936807">
              <w:rPr>
                <w:sz w:val="20"/>
                <w:szCs w:val="20"/>
              </w:rPr>
              <w:t xml:space="preserve"> coverage,</w:t>
            </w:r>
            <w:r w:rsidR="00DD33CF">
              <w:rPr>
                <w:sz w:val="20"/>
                <w:szCs w:val="20"/>
              </w:rPr>
              <w:t xml:space="preserve"> </w:t>
            </w:r>
            <w:r w:rsidR="007E2B94">
              <w:rPr>
                <w:sz w:val="20"/>
                <w:szCs w:val="20"/>
              </w:rPr>
              <w:t xml:space="preserve">particularly as most of the recommendations are aimed at systems. </w:t>
            </w:r>
            <w:r w:rsidR="00921BF6">
              <w:rPr>
                <w:sz w:val="20"/>
                <w:szCs w:val="20"/>
              </w:rPr>
              <w:t xml:space="preserve">Overall, we welcome the report </w:t>
            </w:r>
            <w:proofErr w:type="gramStart"/>
            <w:r w:rsidR="00921BF6">
              <w:rPr>
                <w:sz w:val="20"/>
                <w:szCs w:val="20"/>
              </w:rPr>
              <w:t xml:space="preserve">and </w:t>
            </w:r>
            <w:r w:rsidR="000E2105">
              <w:rPr>
                <w:sz w:val="20"/>
                <w:szCs w:val="20"/>
              </w:rPr>
              <w:t xml:space="preserve"> the</w:t>
            </w:r>
            <w:proofErr w:type="gramEnd"/>
            <w:r w:rsidR="000E2105">
              <w:rPr>
                <w:sz w:val="20"/>
                <w:szCs w:val="20"/>
              </w:rPr>
              <w:t xml:space="preserve"> role</w:t>
            </w:r>
            <w:r w:rsidR="00921BF6">
              <w:rPr>
                <w:sz w:val="20"/>
                <w:szCs w:val="20"/>
              </w:rPr>
              <w:t xml:space="preserve"> NRAP</w:t>
            </w:r>
            <w:r w:rsidR="000E2105">
              <w:rPr>
                <w:sz w:val="20"/>
                <w:szCs w:val="20"/>
              </w:rPr>
              <w:t xml:space="preserve"> plays in helping systems and services improve</w:t>
            </w:r>
            <w:r w:rsidR="00052174">
              <w:rPr>
                <w:sz w:val="20"/>
                <w:szCs w:val="20"/>
              </w:rPr>
              <w:t xml:space="preserve"> outcomes, particularly in terms of the data it collects and the quality improvement support it provides.</w:t>
            </w:r>
          </w:p>
          <w:p w14:paraId="7E8B6BA9" w14:textId="77777777" w:rsidR="00052174" w:rsidRPr="008E20C6" w:rsidRDefault="00052174" w:rsidP="004E47FD">
            <w:pPr>
              <w:rPr>
                <w:i/>
                <w:color w:val="2F5496" w:themeColor="accent1" w:themeShade="BF"/>
                <w:sz w:val="16"/>
                <w:szCs w:val="16"/>
                <w:u w:val="single"/>
              </w:rPr>
            </w:pPr>
          </w:p>
          <w:p w14:paraId="19CC6772" w14:textId="77777777" w:rsidR="00854017" w:rsidRPr="00C06473" w:rsidRDefault="00854017" w:rsidP="004E47FD">
            <w:pPr>
              <w:rPr>
                <w:b/>
                <w:i/>
                <w:sz w:val="20"/>
                <w:szCs w:val="20"/>
              </w:rPr>
            </w:pPr>
            <w:r w:rsidRPr="00C06473">
              <w:rPr>
                <w:b/>
                <w:i/>
                <w:sz w:val="20"/>
                <w:szCs w:val="20"/>
              </w:rPr>
              <w:t>Key positive findings:</w:t>
            </w:r>
          </w:p>
          <w:p w14:paraId="72EB139E" w14:textId="77777777" w:rsidR="00DC0CF3" w:rsidRDefault="001F11F2" w:rsidP="0005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report’s</w:t>
            </w:r>
            <w:r w:rsidR="00FB01C5">
              <w:rPr>
                <w:sz w:val="20"/>
                <w:szCs w:val="20"/>
              </w:rPr>
              <w:t xml:space="preserve"> five recommendations are focused on areas where variation is greatest. In each of the </w:t>
            </w:r>
            <w:r w:rsidR="00D9742B">
              <w:rPr>
                <w:sz w:val="20"/>
                <w:szCs w:val="20"/>
              </w:rPr>
              <w:t xml:space="preserve">areas there are positive findings, for example </w:t>
            </w:r>
          </w:p>
          <w:p w14:paraId="7B7BE24F" w14:textId="77777777" w:rsidR="00DC0CF3" w:rsidRDefault="002277DC" w:rsidP="00DC0CF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C0CF3">
              <w:rPr>
                <w:sz w:val="20"/>
                <w:szCs w:val="20"/>
              </w:rPr>
              <w:t xml:space="preserve">74.3% of services reach the target </w:t>
            </w:r>
            <w:r w:rsidR="00880AFF" w:rsidRPr="00DC0CF3">
              <w:rPr>
                <w:sz w:val="20"/>
                <w:szCs w:val="20"/>
              </w:rPr>
              <w:t>of recommended staffing ratios for adult asthma</w:t>
            </w:r>
            <w:r w:rsidR="002B6F54" w:rsidRPr="00DC0CF3">
              <w:rPr>
                <w:sz w:val="20"/>
                <w:szCs w:val="20"/>
              </w:rPr>
              <w:t xml:space="preserve">, </w:t>
            </w:r>
          </w:p>
          <w:p w14:paraId="2A10E73D" w14:textId="415D07A5" w:rsidR="00854017" w:rsidRDefault="002B6F54" w:rsidP="00DC0CF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C0CF3">
              <w:rPr>
                <w:sz w:val="20"/>
                <w:szCs w:val="20"/>
              </w:rPr>
              <w:t xml:space="preserve">93.4% </w:t>
            </w:r>
            <w:r w:rsidR="00DC0CF3" w:rsidRPr="00DC0CF3">
              <w:rPr>
                <w:sz w:val="20"/>
                <w:szCs w:val="20"/>
              </w:rPr>
              <w:t xml:space="preserve">of services have access to a respiratory nurse to review patients on a </w:t>
            </w:r>
            <w:proofErr w:type="gramStart"/>
            <w:r w:rsidR="00DC0CF3" w:rsidRPr="00DC0CF3">
              <w:rPr>
                <w:sz w:val="20"/>
                <w:szCs w:val="20"/>
              </w:rPr>
              <w:t>week</w:t>
            </w:r>
            <w:r w:rsidR="00D4363E">
              <w:rPr>
                <w:sz w:val="20"/>
                <w:szCs w:val="20"/>
              </w:rPr>
              <w:t>-</w:t>
            </w:r>
            <w:r w:rsidR="00DC0CF3" w:rsidRPr="00DC0CF3">
              <w:rPr>
                <w:sz w:val="20"/>
                <w:szCs w:val="20"/>
              </w:rPr>
              <w:t>day</w:t>
            </w:r>
            <w:proofErr w:type="gramEnd"/>
          </w:p>
          <w:p w14:paraId="6ACEB063" w14:textId="786F9D34" w:rsidR="00CE11D6" w:rsidRDefault="00CE11D6" w:rsidP="00CE11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E11D6">
              <w:rPr>
                <w:sz w:val="20"/>
                <w:szCs w:val="20"/>
              </w:rPr>
              <w:t>71% of hospitals in England</w:t>
            </w:r>
            <w:r>
              <w:rPr>
                <w:sz w:val="20"/>
                <w:szCs w:val="20"/>
              </w:rPr>
              <w:t xml:space="preserve"> </w:t>
            </w:r>
            <w:r w:rsidRPr="00CE11D6">
              <w:rPr>
                <w:sz w:val="20"/>
                <w:szCs w:val="20"/>
              </w:rPr>
              <w:t>report</w:t>
            </w:r>
            <w:r>
              <w:rPr>
                <w:sz w:val="20"/>
                <w:szCs w:val="20"/>
              </w:rPr>
              <w:t xml:space="preserve"> that</w:t>
            </w:r>
            <w:r w:rsidRPr="00CE11D6">
              <w:rPr>
                <w:sz w:val="20"/>
                <w:szCs w:val="20"/>
              </w:rPr>
              <w:t xml:space="preserve"> there is</w:t>
            </w:r>
            <w:r w:rsidR="00943D67">
              <w:rPr>
                <w:sz w:val="20"/>
                <w:szCs w:val="20"/>
              </w:rPr>
              <w:t xml:space="preserve"> tobacco dependence</w:t>
            </w:r>
            <w:r w:rsidRPr="00CE11D6">
              <w:rPr>
                <w:sz w:val="20"/>
                <w:szCs w:val="20"/>
              </w:rPr>
              <w:t xml:space="preserve"> provision available for parents</w:t>
            </w:r>
            <w:r>
              <w:rPr>
                <w:sz w:val="20"/>
                <w:szCs w:val="20"/>
              </w:rPr>
              <w:t xml:space="preserve"> </w:t>
            </w:r>
            <w:r w:rsidRPr="00CE11D6">
              <w:rPr>
                <w:sz w:val="20"/>
                <w:szCs w:val="20"/>
              </w:rPr>
              <w:t>and carers who smok</w:t>
            </w:r>
            <w:r w:rsidR="00943D67">
              <w:rPr>
                <w:sz w:val="20"/>
                <w:szCs w:val="20"/>
              </w:rPr>
              <w:t>e</w:t>
            </w:r>
          </w:p>
          <w:p w14:paraId="6583E733" w14:textId="77777777" w:rsidR="00854017" w:rsidRPr="008E20C6" w:rsidRDefault="00854017" w:rsidP="004E47FD">
            <w:pPr>
              <w:rPr>
                <w:b/>
                <w:i/>
                <w:sz w:val="16"/>
                <w:szCs w:val="16"/>
              </w:rPr>
            </w:pPr>
          </w:p>
          <w:p w14:paraId="104979C7" w14:textId="77777777" w:rsidR="00854017" w:rsidRPr="00C06473" w:rsidRDefault="00854017" w:rsidP="004E47FD">
            <w:pPr>
              <w:rPr>
                <w:b/>
                <w:i/>
                <w:sz w:val="20"/>
                <w:szCs w:val="20"/>
              </w:rPr>
            </w:pPr>
            <w:r w:rsidRPr="00C06473">
              <w:rPr>
                <w:b/>
                <w:i/>
                <w:sz w:val="20"/>
                <w:szCs w:val="20"/>
              </w:rPr>
              <w:t>Main areas for improvement:</w:t>
            </w:r>
          </w:p>
          <w:p w14:paraId="665B7BDE" w14:textId="1A7FB441" w:rsidR="00211829" w:rsidRDefault="0071053C" w:rsidP="00211829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sz w:val="20"/>
                <w:szCs w:val="20"/>
              </w:rPr>
            </w:pPr>
            <w:r w:rsidRPr="0071053C">
              <w:rPr>
                <w:sz w:val="20"/>
                <w:szCs w:val="20"/>
              </w:rPr>
              <w:t>NHS England and the NHS in Wales should endorse appropriate workforce-to-patient ratios</w:t>
            </w:r>
            <w:r>
              <w:rPr>
                <w:sz w:val="20"/>
                <w:szCs w:val="20"/>
              </w:rPr>
              <w:t xml:space="preserve"> </w:t>
            </w:r>
            <w:r w:rsidRPr="0071053C">
              <w:rPr>
                <w:sz w:val="20"/>
                <w:szCs w:val="20"/>
              </w:rPr>
              <w:t>in line with existing British Thoracic Society (BTS) workforce guidance</w:t>
            </w:r>
            <w:r w:rsidR="005A61DF">
              <w:rPr>
                <w:sz w:val="20"/>
                <w:szCs w:val="20"/>
              </w:rPr>
              <w:t xml:space="preserve">. </w:t>
            </w:r>
            <w:r w:rsidR="00020FD3">
              <w:rPr>
                <w:sz w:val="20"/>
                <w:szCs w:val="20"/>
              </w:rPr>
              <w:t xml:space="preserve">Where targets are not being met, </w:t>
            </w:r>
            <w:r w:rsidR="005A61DF" w:rsidRPr="005A61DF">
              <w:rPr>
                <w:sz w:val="20"/>
                <w:szCs w:val="20"/>
              </w:rPr>
              <w:t xml:space="preserve">Integrated care boards (ICBs) and local health boards (LHBs) </w:t>
            </w:r>
            <w:proofErr w:type="gramStart"/>
            <w:r w:rsidR="005A61DF" w:rsidRPr="005A61DF">
              <w:rPr>
                <w:sz w:val="20"/>
                <w:szCs w:val="20"/>
              </w:rPr>
              <w:t>should  prioritise</w:t>
            </w:r>
            <w:proofErr w:type="gramEnd"/>
            <w:r w:rsidR="005A61DF" w:rsidRPr="005A61DF">
              <w:rPr>
                <w:sz w:val="20"/>
                <w:szCs w:val="20"/>
              </w:rPr>
              <w:t xml:space="preserve"> resources to enable</w:t>
            </w:r>
            <w:r w:rsidR="005A61DF">
              <w:rPr>
                <w:sz w:val="20"/>
                <w:szCs w:val="20"/>
              </w:rPr>
              <w:t xml:space="preserve"> </w:t>
            </w:r>
            <w:r w:rsidR="005A61DF" w:rsidRPr="005A61DF">
              <w:rPr>
                <w:sz w:val="20"/>
                <w:szCs w:val="20"/>
              </w:rPr>
              <w:t>individual providers to advertise at least 75% of relevant posts to achieve the ratio by the</w:t>
            </w:r>
            <w:r w:rsidR="005A61DF">
              <w:rPr>
                <w:sz w:val="20"/>
                <w:szCs w:val="20"/>
              </w:rPr>
              <w:t xml:space="preserve"> </w:t>
            </w:r>
            <w:r w:rsidR="005A61DF" w:rsidRPr="005A61DF">
              <w:rPr>
                <w:sz w:val="20"/>
                <w:szCs w:val="20"/>
              </w:rPr>
              <w:t>end of March 2026</w:t>
            </w:r>
            <w:r w:rsidR="005C03C6">
              <w:rPr>
                <w:sz w:val="20"/>
                <w:szCs w:val="20"/>
              </w:rPr>
              <w:t>.</w:t>
            </w:r>
          </w:p>
          <w:p w14:paraId="67EB9BCF" w14:textId="3D5B338E" w:rsidR="001F59E0" w:rsidRPr="001F59E0" w:rsidRDefault="001F59E0" w:rsidP="001F59E0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sz w:val="20"/>
                <w:szCs w:val="20"/>
              </w:rPr>
            </w:pPr>
            <w:r w:rsidRPr="00211829">
              <w:rPr>
                <w:sz w:val="20"/>
                <w:szCs w:val="20"/>
              </w:rPr>
              <w:t>ICBs and LHBs to support services to achieve the following by the end of March 2026: 7-day respiratory consultant availability (adults) and 7-day respiratory nurse access for adults and CYP</w:t>
            </w:r>
          </w:p>
          <w:p w14:paraId="1B4E0FCB" w14:textId="61A854DF" w:rsidR="002A2E5C" w:rsidRDefault="0035179F" w:rsidP="00002F2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recommendation for staffing rations, 7-day consultant and</w:t>
            </w:r>
            <w:r w:rsidR="00334CE8">
              <w:rPr>
                <w:sz w:val="20"/>
                <w:szCs w:val="20"/>
              </w:rPr>
              <w:t xml:space="preserve"> specialist</w:t>
            </w:r>
            <w:r>
              <w:rPr>
                <w:sz w:val="20"/>
                <w:szCs w:val="20"/>
              </w:rPr>
              <w:t xml:space="preserve"> </w:t>
            </w:r>
            <w:r w:rsidR="001F5F96">
              <w:rPr>
                <w:sz w:val="20"/>
                <w:szCs w:val="20"/>
              </w:rPr>
              <w:t>nurse</w:t>
            </w:r>
            <w:r w:rsidR="00334CE8">
              <w:rPr>
                <w:sz w:val="20"/>
                <w:szCs w:val="20"/>
              </w:rPr>
              <w:t xml:space="preserve"> availability</w:t>
            </w:r>
            <w:r w:rsidR="001F5F96">
              <w:rPr>
                <w:sz w:val="20"/>
                <w:szCs w:val="20"/>
              </w:rPr>
              <w:t xml:space="preserve"> for adults </w:t>
            </w:r>
            <w:r w:rsidR="007B0718">
              <w:rPr>
                <w:sz w:val="20"/>
                <w:szCs w:val="20"/>
              </w:rPr>
              <w:t xml:space="preserve">already form part of </w:t>
            </w:r>
            <w:r w:rsidR="007E2DED">
              <w:rPr>
                <w:sz w:val="20"/>
                <w:szCs w:val="20"/>
              </w:rPr>
              <w:t>the recommendations in the</w:t>
            </w:r>
            <w:r w:rsidR="007B0718">
              <w:rPr>
                <w:sz w:val="20"/>
                <w:szCs w:val="20"/>
              </w:rPr>
              <w:t xml:space="preserve"> respiratory</w:t>
            </w:r>
            <w:r w:rsidR="001F7983">
              <w:rPr>
                <w:sz w:val="20"/>
                <w:szCs w:val="20"/>
              </w:rPr>
              <w:t xml:space="preserve"> Getting It Right First Time (GIRFT)</w:t>
            </w:r>
            <w:r w:rsidR="007B0718">
              <w:rPr>
                <w:sz w:val="20"/>
                <w:szCs w:val="20"/>
              </w:rPr>
              <w:t xml:space="preserve"> programme</w:t>
            </w:r>
            <w:r w:rsidR="007E2DED">
              <w:rPr>
                <w:sz w:val="20"/>
                <w:szCs w:val="20"/>
              </w:rPr>
              <w:t>.</w:t>
            </w:r>
          </w:p>
          <w:p w14:paraId="09158DE0" w14:textId="2F28897C" w:rsidR="003A7C7C" w:rsidRDefault="00FA1664" w:rsidP="00002F2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1D44D76">
              <w:rPr>
                <w:sz w:val="20"/>
                <w:szCs w:val="20"/>
              </w:rPr>
              <w:t>Following</w:t>
            </w:r>
            <w:r w:rsidR="002F3040" w:rsidRPr="01D44D76">
              <w:rPr>
                <w:sz w:val="20"/>
                <w:szCs w:val="20"/>
              </w:rPr>
              <w:t xml:space="preserve"> NHS Long Term Workfo</w:t>
            </w:r>
            <w:r w:rsidR="2EED77AF" w:rsidRPr="01D44D76">
              <w:rPr>
                <w:sz w:val="20"/>
                <w:szCs w:val="20"/>
              </w:rPr>
              <w:t>r</w:t>
            </w:r>
            <w:r w:rsidR="002F3040" w:rsidRPr="01D44D76">
              <w:rPr>
                <w:sz w:val="20"/>
                <w:szCs w:val="20"/>
              </w:rPr>
              <w:t>ce Plan</w:t>
            </w:r>
            <w:r w:rsidR="00AF43E7" w:rsidRPr="01D44D76">
              <w:rPr>
                <w:sz w:val="20"/>
                <w:szCs w:val="20"/>
              </w:rPr>
              <w:t>,</w:t>
            </w:r>
            <w:r w:rsidRPr="01D44D76">
              <w:rPr>
                <w:sz w:val="20"/>
                <w:szCs w:val="20"/>
              </w:rPr>
              <w:t xml:space="preserve"> </w:t>
            </w:r>
            <w:r w:rsidR="00691EC9" w:rsidRPr="01D44D76">
              <w:rPr>
                <w:sz w:val="20"/>
                <w:szCs w:val="20"/>
              </w:rPr>
              <w:t>postgraduate specialty training places</w:t>
            </w:r>
            <w:r w:rsidR="00AF43E7" w:rsidRPr="01D44D76">
              <w:rPr>
                <w:sz w:val="20"/>
                <w:szCs w:val="20"/>
              </w:rPr>
              <w:t xml:space="preserve"> are being expanded and </w:t>
            </w:r>
            <w:r w:rsidR="001F5F96" w:rsidRPr="01D44D76">
              <w:rPr>
                <w:sz w:val="20"/>
                <w:szCs w:val="20"/>
              </w:rPr>
              <w:t>distributed</w:t>
            </w:r>
            <w:r w:rsidR="00AF43E7" w:rsidRPr="01D44D76">
              <w:rPr>
                <w:sz w:val="20"/>
                <w:szCs w:val="20"/>
              </w:rPr>
              <w:t xml:space="preserve"> </w:t>
            </w:r>
            <w:proofErr w:type="spellStart"/>
            <w:r w:rsidR="00AF43E7" w:rsidRPr="01D44D76">
              <w:rPr>
                <w:sz w:val="20"/>
                <w:szCs w:val="20"/>
              </w:rPr>
              <w:t>of</w:t>
            </w:r>
            <w:proofErr w:type="spellEnd"/>
            <w:r w:rsidR="00691EC9" w:rsidRPr="01D44D76">
              <w:rPr>
                <w:sz w:val="20"/>
                <w:szCs w:val="20"/>
              </w:rPr>
              <w:t xml:space="preserve"> to account for areas where staff are needed the most in relation to population need and commensurate with available funding requirements</w:t>
            </w:r>
          </w:p>
          <w:p w14:paraId="746F4BED" w14:textId="504EE59F" w:rsidR="00211829" w:rsidRDefault="007921BA" w:rsidP="00211829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sz w:val="20"/>
                <w:szCs w:val="20"/>
              </w:rPr>
            </w:pPr>
            <w:r w:rsidRPr="00211829">
              <w:rPr>
                <w:sz w:val="20"/>
                <w:szCs w:val="20"/>
              </w:rPr>
              <w:t>ICBs and LHBs should identify any hospitals which do not have a formal transition service and ensure they have one in place by the end of March 2026</w:t>
            </w:r>
          </w:p>
          <w:p w14:paraId="5DC4C280" w14:textId="74E89A98" w:rsidR="001B7DC6" w:rsidRPr="00211829" w:rsidRDefault="00C719D1" w:rsidP="001B7DC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Systems are being supported through </w:t>
            </w:r>
            <w:r w:rsidR="00897903">
              <w:rPr>
                <w:sz w:val="20"/>
                <w:szCs w:val="20"/>
              </w:rPr>
              <w:t>NHS E’s</w:t>
            </w:r>
            <w:r w:rsidR="007D0B4E">
              <w:rPr>
                <w:sz w:val="20"/>
                <w:szCs w:val="20"/>
              </w:rPr>
              <w:t xml:space="preserve"> CYP asthma</w:t>
            </w:r>
            <w:r w:rsidR="00B049D5" w:rsidRPr="00B049D5">
              <w:rPr>
                <w:sz w:val="20"/>
                <w:szCs w:val="20"/>
              </w:rPr>
              <w:t xml:space="preserve"> </w:t>
            </w:r>
            <w:r w:rsidR="00897903">
              <w:rPr>
                <w:sz w:val="20"/>
                <w:szCs w:val="20"/>
              </w:rPr>
              <w:t>b</w:t>
            </w:r>
            <w:r w:rsidR="00B049D5" w:rsidRPr="00B049D5">
              <w:rPr>
                <w:sz w:val="20"/>
                <w:szCs w:val="20"/>
              </w:rPr>
              <w:t>undle</w:t>
            </w:r>
            <w:r>
              <w:rPr>
                <w:sz w:val="20"/>
                <w:szCs w:val="20"/>
              </w:rPr>
              <w:t>, which</w:t>
            </w:r>
            <w:r w:rsidR="00897903">
              <w:rPr>
                <w:sz w:val="20"/>
                <w:szCs w:val="20"/>
              </w:rPr>
              <w:t xml:space="preserve"> </w:t>
            </w:r>
            <w:r w:rsidR="009524B9">
              <w:rPr>
                <w:sz w:val="20"/>
                <w:szCs w:val="20"/>
              </w:rPr>
              <w:t>covers</w:t>
            </w:r>
            <w:r w:rsidR="00897903">
              <w:rPr>
                <w:sz w:val="20"/>
                <w:szCs w:val="20"/>
              </w:rPr>
              <w:t xml:space="preserve"> the transition</w:t>
            </w:r>
            <w:r>
              <w:rPr>
                <w:sz w:val="20"/>
                <w:szCs w:val="20"/>
              </w:rPr>
              <w:t>,</w:t>
            </w:r>
            <w:r w:rsidR="00B049D5" w:rsidRPr="00B049D5">
              <w:rPr>
                <w:sz w:val="20"/>
                <w:szCs w:val="20"/>
              </w:rPr>
              <w:t xml:space="preserve"> </w:t>
            </w:r>
            <w:r w:rsidR="005725B2">
              <w:rPr>
                <w:sz w:val="20"/>
                <w:szCs w:val="20"/>
              </w:rPr>
              <w:t xml:space="preserve">and </w:t>
            </w:r>
            <w:r w:rsidR="00E2065B">
              <w:rPr>
                <w:sz w:val="20"/>
                <w:szCs w:val="20"/>
              </w:rPr>
              <w:t>as part of a forthcoming phase of a</w:t>
            </w:r>
            <w:r w:rsidR="00B049D5" w:rsidRPr="00B049D5">
              <w:rPr>
                <w:sz w:val="20"/>
                <w:szCs w:val="20"/>
              </w:rPr>
              <w:t xml:space="preserve"> </w:t>
            </w:r>
            <w:r w:rsidR="00E2065B">
              <w:rPr>
                <w:sz w:val="20"/>
                <w:szCs w:val="20"/>
              </w:rPr>
              <w:t xml:space="preserve">broader </w:t>
            </w:r>
            <w:r w:rsidR="005725B2">
              <w:rPr>
                <w:sz w:val="20"/>
                <w:szCs w:val="20"/>
              </w:rPr>
              <w:t>f</w:t>
            </w:r>
            <w:r w:rsidR="00B049D5" w:rsidRPr="00B049D5">
              <w:rPr>
                <w:sz w:val="20"/>
                <w:szCs w:val="20"/>
              </w:rPr>
              <w:t>ramework</w:t>
            </w:r>
            <w:r w:rsidR="000D5CB2">
              <w:rPr>
                <w:sz w:val="20"/>
                <w:szCs w:val="20"/>
              </w:rPr>
              <w:t xml:space="preserve"> covering the transition from CYP to adult </w:t>
            </w:r>
            <w:proofErr w:type="gramStart"/>
            <w:r w:rsidR="000D5CB2">
              <w:rPr>
                <w:sz w:val="20"/>
                <w:szCs w:val="20"/>
              </w:rPr>
              <w:t>services</w:t>
            </w:r>
            <w:r>
              <w:rPr>
                <w:sz w:val="20"/>
                <w:szCs w:val="20"/>
              </w:rPr>
              <w:t xml:space="preserve"> </w:t>
            </w:r>
            <w:r w:rsidR="00E2065B">
              <w:rPr>
                <w:sz w:val="20"/>
                <w:szCs w:val="20"/>
              </w:rPr>
              <w:t>,</w:t>
            </w:r>
            <w:proofErr w:type="gramEnd"/>
            <w:r w:rsidR="000D5CB2">
              <w:rPr>
                <w:sz w:val="20"/>
                <w:szCs w:val="20"/>
              </w:rPr>
              <w:t xml:space="preserve"> </w:t>
            </w:r>
            <w:r w:rsidR="00B049D5" w:rsidRPr="00B049D5">
              <w:rPr>
                <w:sz w:val="20"/>
                <w:szCs w:val="20"/>
              </w:rPr>
              <w:t>short guides on management of transition and LTCs</w:t>
            </w:r>
            <w:r w:rsidR="007B4C4D">
              <w:rPr>
                <w:sz w:val="20"/>
                <w:szCs w:val="20"/>
              </w:rPr>
              <w:t>,</w:t>
            </w:r>
            <w:r w:rsidR="00B049D5" w:rsidRPr="00B049D5">
              <w:rPr>
                <w:sz w:val="20"/>
                <w:szCs w:val="20"/>
              </w:rPr>
              <w:t xml:space="preserve"> </w:t>
            </w:r>
            <w:r w:rsidR="007B4C4D">
              <w:rPr>
                <w:sz w:val="20"/>
                <w:szCs w:val="20"/>
              </w:rPr>
              <w:t>including</w:t>
            </w:r>
            <w:r w:rsidR="00B049D5" w:rsidRPr="00B049D5">
              <w:rPr>
                <w:sz w:val="20"/>
                <w:szCs w:val="20"/>
              </w:rPr>
              <w:t xml:space="preserve"> asthma</w:t>
            </w:r>
            <w:r w:rsidR="007B4C4D">
              <w:rPr>
                <w:sz w:val="20"/>
                <w:szCs w:val="20"/>
              </w:rPr>
              <w:t>, will be made available</w:t>
            </w:r>
            <w:r w:rsidR="005C03C6">
              <w:rPr>
                <w:sz w:val="20"/>
                <w:szCs w:val="20"/>
              </w:rPr>
              <w:t>.</w:t>
            </w:r>
          </w:p>
          <w:p w14:paraId="03877FB2" w14:textId="77777777" w:rsidR="00211829" w:rsidRDefault="007921BA" w:rsidP="00211829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sz w:val="20"/>
                <w:szCs w:val="20"/>
              </w:rPr>
            </w:pPr>
            <w:r w:rsidRPr="00211829">
              <w:rPr>
                <w:sz w:val="20"/>
                <w:szCs w:val="20"/>
              </w:rPr>
              <w:t>Systems should ensure all people with COPD and asthma should have access to tobacco dependence</w:t>
            </w:r>
            <w:r w:rsidR="00211829" w:rsidRPr="00211829">
              <w:rPr>
                <w:sz w:val="20"/>
                <w:szCs w:val="20"/>
              </w:rPr>
              <w:t xml:space="preserve"> s</w:t>
            </w:r>
            <w:r w:rsidRPr="00211829">
              <w:rPr>
                <w:sz w:val="20"/>
                <w:szCs w:val="20"/>
              </w:rPr>
              <w:t>upport, particularly children and young people</w:t>
            </w:r>
            <w:r w:rsidR="000D7B04" w:rsidRPr="00211829">
              <w:rPr>
                <w:sz w:val="20"/>
                <w:szCs w:val="20"/>
              </w:rPr>
              <w:t xml:space="preserve"> admitted to hospital with asthma</w:t>
            </w:r>
          </w:p>
          <w:p w14:paraId="66C6882A" w14:textId="0F43C349" w:rsidR="000A0AD2" w:rsidRPr="000A0AD2" w:rsidRDefault="000A0AD2" w:rsidP="000A0AD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A0AD2">
              <w:rPr>
                <w:sz w:val="20"/>
                <w:szCs w:val="20"/>
              </w:rPr>
              <w:t>Good progress is being made against the tobacco LTP ambitions with over 90% of inpatient and 95% of maternity sites delivering tobacco dependence treatment services (Q1, 2024/25).</w:t>
            </w:r>
          </w:p>
          <w:p w14:paraId="694A6E9A" w14:textId="1467BEA5" w:rsidR="002C593F" w:rsidRPr="000A0AD2" w:rsidRDefault="00BD11BD" w:rsidP="000A0AD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D11BD">
              <w:rPr>
                <w:sz w:val="20"/>
                <w:szCs w:val="20"/>
              </w:rPr>
              <w:t>The</w:t>
            </w:r>
            <w:r w:rsidR="00104EA8">
              <w:rPr>
                <w:sz w:val="20"/>
                <w:szCs w:val="20"/>
              </w:rPr>
              <w:t xml:space="preserve"> CYP</w:t>
            </w:r>
            <w:r w:rsidRPr="00BD11BD">
              <w:rPr>
                <w:sz w:val="20"/>
                <w:szCs w:val="20"/>
              </w:rPr>
              <w:t xml:space="preserve"> </w:t>
            </w:r>
            <w:r w:rsidR="00104EA8">
              <w:rPr>
                <w:sz w:val="20"/>
                <w:szCs w:val="20"/>
              </w:rPr>
              <w:t>b</w:t>
            </w:r>
            <w:r w:rsidRPr="00BD11BD">
              <w:rPr>
                <w:sz w:val="20"/>
                <w:szCs w:val="20"/>
              </w:rPr>
              <w:t>undle deliverables specifically refer to smoking cessation for CYP and parents and carers, including having the conversation and helping them to find support</w:t>
            </w:r>
          </w:p>
          <w:p w14:paraId="5F0599A2" w14:textId="2EC664B7" w:rsidR="000D7B04" w:rsidRDefault="001D6D91" w:rsidP="00211829">
            <w:pPr>
              <w:pStyle w:val="ListParagraph"/>
              <w:numPr>
                <w:ilvl w:val="0"/>
                <w:numId w:val="12"/>
              </w:numPr>
              <w:ind w:left="306" w:hanging="284"/>
              <w:rPr>
                <w:sz w:val="20"/>
                <w:szCs w:val="20"/>
              </w:rPr>
            </w:pPr>
            <w:r w:rsidRPr="0E42C678">
              <w:rPr>
                <w:sz w:val="20"/>
                <w:szCs w:val="20"/>
              </w:rPr>
              <w:t xml:space="preserve">Systems should support services </w:t>
            </w:r>
            <w:r w:rsidR="001C639D" w:rsidRPr="0E42C678">
              <w:rPr>
                <w:sz w:val="20"/>
                <w:szCs w:val="20"/>
              </w:rPr>
              <w:t xml:space="preserve">so that </w:t>
            </w:r>
            <w:r w:rsidR="2A0EB153" w:rsidRPr="0E42C678">
              <w:rPr>
                <w:sz w:val="20"/>
                <w:szCs w:val="20"/>
              </w:rPr>
              <w:t>they</w:t>
            </w:r>
            <w:r w:rsidR="001C639D" w:rsidRPr="0E42C678">
              <w:rPr>
                <w:sz w:val="20"/>
                <w:szCs w:val="20"/>
              </w:rPr>
              <w:t xml:space="preserve"> are able to accept pulmonary rehabilitation referrals from </w:t>
            </w:r>
            <w:r w:rsidR="00815A93" w:rsidRPr="0E42C678">
              <w:rPr>
                <w:sz w:val="20"/>
                <w:szCs w:val="20"/>
              </w:rPr>
              <w:t>all suitable patients</w:t>
            </w:r>
          </w:p>
          <w:p w14:paraId="196E3B69" w14:textId="2FED8AF1" w:rsidR="006979C5" w:rsidRPr="00211829" w:rsidRDefault="009F0CBC" w:rsidP="006979C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E42C678">
              <w:rPr>
                <w:sz w:val="20"/>
                <w:szCs w:val="20"/>
              </w:rPr>
              <w:t>NHS England</w:t>
            </w:r>
            <w:r w:rsidR="00270BBB" w:rsidRPr="0E42C678">
              <w:rPr>
                <w:sz w:val="20"/>
                <w:szCs w:val="20"/>
              </w:rPr>
              <w:t xml:space="preserve"> </w:t>
            </w:r>
            <w:r w:rsidR="005C03C6" w:rsidRPr="0E42C678">
              <w:rPr>
                <w:sz w:val="20"/>
                <w:szCs w:val="20"/>
              </w:rPr>
              <w:t>has</w:t>
            </w:r>
            <w:r w:rsidRPr="0E42C678">
              <w:rPr>
                <w:sz w:val="20"/>
                <w:szCs w:val="20"/>
              </w:rPr>
              <w:t xml:space="preserve"> fund</w:t>
            </w:r>
            <w:r w:rsidR="005C03C6" w:rsidRPr="0E42C678">
              <w:rPr>
                <w:sz w:val="20"/>
                <w:szCs w:val="20"/>
              </w:rPr>
              <w:t>ed</w:t>
            </w:r>
            <w:r w:rsidR="003512C7" w:rsidRPr="0E42C678">
              <w:rPr>
                <w:sz w:val="20"/>
                <w:szCs w:val="20"/>
              </w:rPr>
              <w:t xml:space="preserve"> the expansion of the</w:t>
            </w:r>
            <w:r w:rsidR="005C03C6" w:rsidRPr="0E42C678">
              <w:rPr>
                <w:sz w:val="20"/>
                <w:szCs w:val="20"/>
              </w:rPr>
              <w:t xml:space="preserve"> PR</w:t>
            </w:r>
            <w:r w:rsidR="003512C7" w:rsidRPr="0E42C678">
              <w:rPr>
                <w:sz w:val="20"/>
                <w:szCs w:val="20"/>
              </w:rPr>
              <w:t xml:space="preserve"> audit so </w:t>
            </w:r>
            <w:r w:rsidR="00083998" w:rsidRPr="0E42C678">
              <w:rPr>
                <w:sz w:val="20"/>
                <w:szCs w:val="20"/>
              </w:rPr>
              <w:t>all suitable</w:t>
            </w:r>
            <w:r w:rsidR="003512C7" w:rsidRPr="0E42C678">
              <w:rPr>
                <w:sz w:val="20"/>
                <w:szCs w:val="20"/>
              </w:rPr>
              <w:t xml:space="preserve"> conditions can be </w:t>
            </w:r>
            <w:r w:rsidR="00083998" w:rsidRPr="0E42C678">
              <w:rPr>
                <w:sz w:val="20"/>
                <w:szCs w:val="20"/>
              </w:rPr>
              <w:t xml:space="preserve">captured and </w:t>
            </w:r>
            <w:r w:rsidR="064CB82A" w:rsidRPr="0E42C678">
              <w:rPr>
                <w:sz w:val="20"/>
                <w:szCs w:val="20"/>
              </w:rPr>
              <w:t>measured,</w:t>
            </w:r>
            <w:r w:rsidRPr="0E42C678">
              <w:rPr>
                <w:sz w:val="20"/>
                <w:szCs w:val="20"/>
              </w:rPr>
              <w:t xml:space="preserve"> alongside providing transformation funding and commissioning standards</w:t>
            </w:r>
            <w:r w:rsidR="00F20E7B" w:rsidRPr="0E42C678">
              <w:rPr>
                <w:sz w:val="20"/>
                <w:szCs w:val="20"/>
              </w:rPr>
              <w:t xml:space="preserve"> </w:t>
            </w:r>
            <w:r w:rsidR="0067480B" w:rsidRPr="0E42C678">
              <w:rPr>
                <w:sz w:val="20"/>
                <w:szCs w:val="20"/>
              </w:rPr>
              <w:t>which also emphasise the importance of offering PR to all eligible patients, irrespective of their condition.</w:t>
            </w:r>
          </w:p>
          <w:p w14:paraId="5F3D584A" w14:textId="77777777" w:rsidR="00854017" w:rsidRPr="00C06473" w:rsidRDefault="00854017" w:rsidP="00D212F8">
            <w:pPr>
              <w:pStyle w:val="PlainText"/>
              <w:ind w:left="720"/>
              <w:rPr>
                <w:i/>
                <w:sz w:val="20"/>
                <w:szCs w:val="20"/>
              </w:rPr>
            </w:pPr>
          </w:p>
        </w:tc>
      </w:tr>
    </w:tbl>
    <w:p w14:paraId="399CD2E1" w14:textId="77777777" w:rsidR="00C06473" w:rsidRDefault="00C06473"/>
    <w:sectPr w:rsidR="00C06473" w:rsidSect="00C06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08C9" w14:textId="77777777" w:rsidR="005523B0" w:rsidRDefault="005523B0" w:rsidP="00C06473">
      <w:r>
        <w:separator/>
      </w:r>
    </w:p>
  </w:endnote>
  <w:endnote w:type="continuationSeparator" w:id="0">
    <w:p w14:paraId="16073400" w14:textId="77777777" w:rsidR="005523B0" w:rsidRDefault="005523B0" w:rsidP="00C06473">
      <w:r>
        <w:continuationSeparator/>
      </w:r>
    </w:p>
  </w:endnote>
  <w:endnote w:type="continuationNotice" w:id="1">
    <w:p w14:paraId="4455F7EC" w14:textId="77777777" w:rsidR="00412DC4" w:rsidRDefault="0041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EB18" w14:textId="77777777" w:rsidR="005523B0" w:rsidRDefault="005523B0" w:rsidP="00C06473">
      <w:r>
        <w:separator/>
      </w:r>
    </w:p>
  </w:footnote>
  <w:footnote w:type="continuationSeparator" w:id="0">
    <w:p w14:paraId="1F194BD9" w14:textId="77777777" w:rsidR="005523B0" w:rsidRDefault="005523B0" w:rsidP="00C06473">
      <w:r>
        <w:continuationSeparator/>
      </w:r>
    </w:p>
  </w:footnote>
  <w:footnote w:type="continuationNotice" w:id="1">
    <w:p w14:paraId="36D9D148" w14:textId="77777777" w:rsidR="00412DC4" w:rsidRDefault="00412D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ABF"/>
    <w:multiLevelType w:val="hybridMultilevel"/>
    <w:tmpl w:val="217E2C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43C5"/>
    <w:multiLevelType w:val="hybridMultilevel"/>
    <w:tmpl w:val="A6246238"/>
    <w:lvl w:ilvl="0" w:tplc="BAB07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605"/>
    <w:multiLevelType w:val="hybridMultilevel"/>
    <w:tmpl w:val="217E2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AE7"/>
    <w:multiLevelType w:val="multilevel"/>
    <w:tmpl w:val="CE3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C3FA7"/>
    <w:multiLevelType w:val="hybridMultilevel"/>
    <w:tmpl w:val="217E2C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CD5"/>
    <w:multiLevelType w:val="hybridMultilevel"/>
    <w:tmpl w:val="95DA7808"/>
    <w:lvl w:ilvl="0" w:tplc="5980F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830"/>
    <w:multiLevelType w:val="hybridMultilevel"/>
    <w:tmpl w:val="4D92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7DDB"/>
    <w:multiLevelType w:val="hybridMultilevel"/>
    <w:tmpl w:val="A866D1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3F39"/>
    <w:multiLevelType w:val="hybridMultilevel"/>
    <w:tmpl w:val="71E2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52C1"/>
    <w:multiLevelType w:val="hybridMultilevel"/>
    <w:tmpl w:val="E2E0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934DB"/>
    <w:multiLevelType w:val="hybridMultilevel"/>
    <w:tmpl w:val="B618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70448"/>
    <w:multiLevelType w:val="hybridMultilevel"/>
    <w:tmpl w:val="EF10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03592"/>
    <w:multiLevelType w:val="hybridMultilevel"/>
    <w:tmpl w:val="B204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2FB2"/>
    <w:multiLevelType w:val="hybridMultilevel"/>
    <w:tmpl w:val="F4C6EA16"/>
    <w:lvl w:ilvl="0" w:tplc="13529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E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85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B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01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8A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62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875A6"/>
    <w:multiLevelType w:val="hybridMultilevel"/>
    <w:tmpl w:val="217E2C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25C09"/>
    <w:multiLevelType w:val="hybridMultilevel"/>
    <w:tmpl w:val="0E30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88353">
    <w:abstractNumId w:val="13"/>
  </w:num>
  <w:num w:numId="2" w16cid:durableId="21979063">
    <w:abstractNumId w:val="10"/>
  </w:num>
  <w:num w:numId="3" w16cid:durableId="2068256165">
    <w:abstractNumId w:val="15"/>
  </w:num>
  <w:num w:numId="4" w16cid:durableId="704644936">
    <w:abstractNumId w:val="11"/>
  </w:num>
  <w:num w:numId="5" w16cid:durableId="491218268">
    <w:abstractNumId w:val="7"/>
  </w:num>
  <w:num w:numId="6" w16cid:durableId="1104575841">
    <w:abstractNumId w:val="8"/>
  </w:num>
  <w:num w:numId="7" w16cid:durableId="2054384589">
    <w:abstractNumId w:val="3"/>
  </w:num>
  <w:num w:numId="8" w16cid:durableId="1276401699">
    <w:abstractNumId w:val="6"/>
  </w:num>
  <w:num w:numId="9" w16cid:durableId="1111515486">
    <w:abstractNumId w:val="12"/>
  </w:num>
  <w:num w:numId="10" w16cid:durableId="1745565506">
    <w:abstractNumId w:val="9"/>
  </w:num>
  <w:num w:numId="11" w16cid:durableId="356929403">
    <w:abstractNumId w:val="1"/>
  </w:num>
  <w:num w:numId="12" w16cid:durableId="156309422">
    <w:abstractNumId w:val="2"/>
  </w:num>
  <w:num w:numId="13" w16cid:durableId="743112824">
    <w:abstractNumId w:val="14"/>
  </w:num>
  <w:num w:numId="14" w16cid:durableId="727338498">
    <w:abstractNumId w:val="4"/>
  </w:num>
  <w:num w:numId="15" w16cid:durableId="1674258732">
    <w:abstractNumId w:val="0"/>
  </w:num>
  <w:num w:numId="16" w16cid:durableId="95328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73"/>
    <w:rsid w:val="00002F29"/>
    <w:rsid w:val="000069B7"/>
    <w:rsid w:val="000104F3"/>
    <w:rsid w:val="00020FD3"/>
    <w:rsid w:val="00022AA2"/>
    <w:rsid w:val="00036BD4"/>
    <w:rsid w:val="00052174"/>
    <w:rsid w:val="000613A4"/>
    <w:rsid w:val="00072B4F"/>
    <w:rsid w:val="00083998"/>
    <w:rsid w:val="000A0AD2"/>
    <w:rsid w:val="000B250D"/>
    <w:rsid w:val="000D5CB2"/>
    <w:rsid w:val="000D7B04"/>
    <w:rsid w:val="000E2105"/>
    <w:rsid w:val="00104EA8"/>
    <w:rsid w:val="00121366"/>
    <w:rsid w:val="00124394"/>
    <w:rsid w:val="00136365"/>
    <w:rsid w:val="00163398"/>
    <w:rsid w:val="00196B2B"/>
    <w:rsid w:val="001B33EC"/>
    <w:rsid w:val="001B7DC6"/>
    <w:rsid w:val="001C639D"/>
    <w:rsid w:val="001D36AB"/>
    <w:rsid w:val="001D6D91"/>
    <w:rsid w:val="001F11F2"/>
    <w:rsid w:val="001F59E0"/>
    <w:rsid w:val="001F5F96"/>
    <w:rsid w:val="001F7983"/>
    <w:rsid w:val="00211829"/>
    <w:rsid w:val="002277DC"/>
    <w:rsid w:val="00230BD3"/>
    <w:rsid w:val="00270BBB"/>
    <w:rsid w:val="002A2E5C"/>
    <w:rsid w:val="002B6F54"/>
    <w:rsid w:val="002C593F"/>
    <w:rsid w:val="002E53C8"/>
    <w:rsid w:val="002F3040"/>
    <w:rsid w:val="003334E7"/>
    <w:rsid w:val="00334CE8"/>
    <w:rsid w:val="00336986"/>
    <w:rsid w:val="003512C7"/>
    <w:rsid w:val="0035179F"/>
    <w:rsid w:val="003A224F"/>
    <w:rsid w:val="003A7C7C"/>
    <w:rsid w:val="003B57AA"/>
    <w:rsid w:val="003F1912"/>
    <w:rsid w:val="003F20E1"/>
    <w:rsid w:val="00412DC4"/>
    <w:rsid w:val="00420DBC"/>
    <w:rsid w:val="004461F7"/>
    <w:rsid w:val="00463311"/>
    <w:rsid w:val="0047797D"/>
    <w:rsid w:val="004B690F"/>
    <w:rsid w:val="004D513D"/>
    <w:rsid w:val="004E47FD"/>
    <w:rsid w:val="004E5957"/>
    <w:rsid w:val="004E700C"/>
    <w:rsid w:val="00514507"/>
    <w:rsid w:val="005523B0"/>
    <w:rsid w:val="0057141A"/>
    <w:rsid w:val="005725B2"/>
    <w:rsid w:val="005875A0"/>
    <w:rsid w:val="005A61DF"/>
    <w:rsid w:val="005C03C6"/>
    <w:rsid w:val="005F105C"/>
    <w:rsid w:val="00611777"/>
    <w:rsid w:val="00636F97"/>
    <w:rsid w:val="006517FD"/>
    <w:rsid w:val="0067480B"/>
    <w:rsid w:val="006772F4"/>
    <w:rsid w:val="00691EC9"/>
    <w:rsid w:val="006941BA"/>
    <w:rsid w:val="006951D0"/>
    <w:rsid w:val="006979C5"/>
    <w:rsid w:val="006C1ACA"/>
    <w:rsid w:val="006D4FBC"/>
    <w:rsid w:val="00704281"/>
    <w:rsid w:val="0071053C"/>
    <w:rsid w:val="00720675"/>
    <w:rsid w:val="0072371D"/>
    <w:rsid w:val="0073146B"/>
    <w:rsid w:val="0075136F"/>
    <w:rsid w:val="007921BA"/>
    <w:rsid w:val="007B0718"/>
    <w:rsid w:val="007B4C4D"/>
    <w:rsid w:val="007D0B4E"/>
    <w:rsid w:val="007E1C43"/>
    <w:rsid w:val="007E2B94"/>
    <w:rsid w:val="007E2DED"/>
    <w:rsid w:val="007E5F01"/>
    <w:rsid w:val="007F2EB7"/>
    <w:rsid w:val="00815A93"/>
    <w:rsid w:val="008327B6"/>
    <w:rsid w:val="0084052D"/>
    <w:rsid w:val="00843F16"/>
    <w:rsid w:val="0084411F"/>
    <w:rsid w:val="00854017"/>
    <w:rsid w:val="008547B9"/>
    <w:rsid w:val="00880AFF"/>
    <w:rsid w:val="00883779"/>
    <w:rsid w:val="00893B6D"/>
    <w:rsid w:val="00895A2E"/>
    <w:rsid w:val="00896442"/>
    <w:rsid w:val="00897903"/>
    <w:rsid w:val="008B0830"/>
    <w:rsid w:val="008B1EF5"/>
    <w:rsid w:val="008B20A0"/>
    <w:rsid w:val="008D30EE"/>
    <w:rsid w:val="008E20C6"/>
    <w:rsid w:val="00900A7A"/>
    <w:rsid w:val="00904212"/>
    <w:rsid w:val="00917EEA"/>
    <w:rsid w:val="00921BF6"/>
    <w:rsid w:val="00936807"/>
    <w:rsid w:val="00943D67"/>
    <w:rsid w:val="009524B9"/>
    <w:rsid w:val="00995A6E"/>
    <w:rsid w:val="009A5199"/>
    <w:rsid w:val="009F0CBC"/>
    <w:rsid w:val="009F446F"/>
    <w:rsid w:val="00A10271"/>
    <w:rsid w:val="00A45599"/>
    <w:rsid w:val="00A50927"/>
    <w:rsid w:val="00A85EFB"/>
    <w:rsid w:val="00A9284B"/>
    <w:rsid w:val="00AB7DC4"/>
    <w:rsid w:val="00AE1CC7"/>
    <w:rsid w:val="00AE3945"/>
    <w:rsid w:val="00AF43E7"/>
    <w:rsid w:val="00B049D5"/>
    <w:rsid w:val="00B32292"/>
    <w:rsid w:val="00B34A89"/>
    <w:rsid w:val="00B70BA1"/>
    <w:rsid w:val="00B8190F"/>
    <w:rsid w:val="00B837DE"/>
    <w:rsid w:val="00B950B4"/>
    <w:rsid w:val="00BA29BE"/>
    <w:rsid w:val="00BD11BD"/>
    <w:rsid w:val="00C06473"/>
    <w:rsid w:val="00C2749E"/>
    <w:rsid w:val="00C44800"/>
    <w:rsid w:val="00C608A2"/>
    <w:rsid w:val="00C70B39"/>
    <w:rsid w:val="00C719D1"/>
    <w:rsid w:val="00C725AC"/>
    <w:rsid w:val="00C759EA"/>
    <w:rsid w:val="00C7759B"/>
    <w:rsid w:val="00C84705"/>
    <w:rsid w:val="00CB18D5"/>
    <w:rsid w:val="00CE11D6"/>
    <w:rsid w:val="00CF11BB"/>
    <w:rsid w:val="00D04AD9"/>
    <w:rsid w:val="00D10AC6"/>
    <w:rsid w:val="00D15F5A"/>
    <w:rsid w:val="00D212F8"/>
    <w:rsid w:val="00D34E9C"/>
    <w:rsid w:val="00D35769"/>
    <w:rsid w:val="00D4363E"/>
    <w:rsid w:val="00D950F1"/>
    <w:rsid w:val="00D9742B"/>
    <w:rsid w:val="00DB3D6F"/>
    <w:rsid w:val="00DC0CF3"/>
    <w:rsid w:val="00DC1C2E"/>
    <w:rsid w:val="00DC36C9"/>
    <w:rsid w:val="00DD33CF"/>
    <w:rsid w:val="00DF44CC"/>
    <w:rsid w:val="00E06941"/>
    <w:rsid w:val="00E2065B"/>
    <w:rsid w:val="00E20737"/>
    <w:rsid w:val="00E249CB"/>
    <w:rsid w:val="00E55242"/>
    <w:rsid w:val="00E76DE7"/>
    <w:rsid w:val="00EE77DC"/>
    <w:rsid w:val="00EF2A23"/>
    <w:rsid w:val="00F14E0F"/>
    <w:rsid w:val="00F15B0A"/>
    <w:rsid w:val="00F20E7B"/>
    <w:rsid w:val="00F524A5"/>
    <w:rsid w:val="00F772E2"/>
    <w:rsid w:val="00F87C28"/>
    <w:rsid w:val="00FA1664"/>
    <w:rsid w:val="00FB01C5"/>
    <w:rsid w:val="01D44D76"/>
    <w:rsid w:val="064CB82A"/>
    <w:rsid w:val="0E42C678"/>
    <w:rsid w:val="2A0EB153"/>
    <w:rsid w:val="2EED77AF"/>
    <w:rsid w:val="31C5C9D9"/>
    <w:rsid w:val="3E4808B7"/>
    <w:rsid w:val="446B47D8"/>
    <w:rsid w:val="4BD772D4"/>
    <w:rsid w:val="54E745B4"/>
    <w:rsid w:val="63D75919"/>
    <w:rsid w:val="72DEDF6A"/>
    <w:rsid w:val="758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DAEF"/>
  <w15:chartTrackingRefBased/>
  <w15:docId w15:val="{D4EB1F4C-3A79-4428-980B-995C164F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0647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647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064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06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47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473"/>
    <w:rPr>
      <w:rFonts w:ascii="Calibri" w:hAnsi="Calibri" w:cs="Times New Roman"/>
    </w:rPr>
  </w:style>
  <w:style w:type="paragraph" w:customStyle="1" w:styleId="Default">
    <w:name w:val="Default"/>
    <w:rsid w:val="00F772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6" ma:contentTypeDescription="Create a new document." ma:contentTypeScope="" ma:versionID="43eb203cc05f837d09433e2347841669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35b10e1bc53dee3d17659eb2bd262213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5f34e-7fe3-4ddf-a408-9f081236fa99">
      <Terms xmlns="http://schemas.microsoft.com/office/infopath/2007/PartnerControls"/>
    </lcf76f155ced4ddcb4097134ff3c332f>
    <TaxCatchAll xmlns="a9225902-e28a-4f93-8698-7034769f5eb3" xsi:nil="true"/>
  </documentManagement>
</p:properties>
</file>

<file path=customXml/itemProps1.xml><?xml version="1.0" encoding="utf-8"?>
<ds:datastoreItem xmlns:ds="http://schemas.openxmlformats.org/officeDocument/2006/customXml" ds:itemID="{686BD09F-16BB-42B6-A82F-1CCC40968451}"/>
</file>

<file path=customXml/itemProps2.xml><?xml version="1.0" encoding="utf-8"?>
<ds:datastoreItem xmlns:ds="http://schemas.openxmlformats.org/officeDocument/2006/customXml" ds:itemID="{DEB2261A-96DE-468B-B647-0ED318953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4369-AA91-41E7-A738-3361A9CBB573}">
  <ds:schemaRefs>
    <ds:schemaRef ds:uri="http://purl.org/dc/terms/"/>
    <ds:schemaRef ds:uri="f22a963c-f3d8-4d34-af13-b02101e549d5"/>
    <ds:schemaRef ds:uri="http://schemas.openxmlformats.org/package/2006/metadata/core-properties"/>
    <ds:schemaRef ds:uri="http://schemas.microsoft.com/office/2006/documentManagement/types"/>
    <ds:schemaRef ds:uri="927662dc-1623-43e1-a71a-4b0d82864b43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Cheuk Wong</dc:creator>
  <cp:keywords/>
  <dc:description/>
  <cp:lastModifiedBy>MULLINGS, Dominique (NHS ENGLAND - X24)</cp:lastModifiedBy>
  <cp:revision>2</cp:revision>
  <dcterms:created xsi:type="dcterms:W3CDTF">2024-10-18T06:51:00Z</dcterms:created>
  <dcterms:modified xsi:type="dcterms:W3CDTF">2024-10-18T06:51:00Z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0x0101002816C8417C0B6D4AB06FED142CFD6E8B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